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166</w:t>
      </w:r>
    </w:p>
    <w:p>
      <w:r>
        <w:t>Bundesgericht (BGE), 1991-05-08, DE</w:t>
      </w:r>
    </w:p>
    <w:p>
      <w:r>
        <w:rPr>
          <w:b/>
        </w:rPr>
        <w:t xml:space="preserve">Quelle: </w:t>
      </w:r>
      <w:r>
        <w:t>https://mcp.opencaselaw.ch/entscheid/bge_117 V 166</w:t>
      </w:r>
    </w:p>
    <w:p>
      <w:r>
        <w:t>FR: ATF 117 V 166</w:t>
      </w:r>
    </w:p>
    <w:p>
      <w:r>
        <w:t>IT: DTF 117 V 166</w:t>
      </w:r>
    </w:p>
    <w:p>
      <w:pPr>
        <w:pStyle w:val="Heading2"/>
      </w:pPr>
      <w:r>
        <w:t>Regeste</w:t>
      </w:r>
    </w:p>
    <w:p>
      <w:r>
        <w:t>Regeste Art. 6 und Art. 36 Abs. 1 BVG: Anpassung der Renten an die Preisentwicklung. Art. 36 BVG stellt eine Mindestvorschrift dar, die nur für die seit 1. Januar 1985 in Kraft stehende obligatorische Versicherung der Arbeitnehmer gilt. Für eine aus vorobligatorischer Vorsorge zugesprochene Invalidenrente besteht von Gesetzes wegen keine Verpflichtung zur Anpassung an die Preisentwicklung.</w:t>
      </w:r>
    </w:p>
    <w:p>
      <w:pPr>
        <w:pStyle w:val="Heading2"/>
      </w:pPr>
      <w:r>
        <w:t>Erwägungen</w:t>
      </w:r>
    </w:p>
    <w:p>
      <w:r>
        <w:rPr>
          <w:b/>
        </w:rPr>
        <w:t>E. 2</w:t>
      </w:r>
    </w:p>
    <w:p>
      <w:r>
        <w:t>Nach dem seit 1. Januar 1985 in Kraft stehenden Art. 36 BVG werden Hinterlassenen- und Invalidenrenten, nicht aber Altersrenten, deren Laufzeit 3 Jahre überschritten hat, für Männer bis zum vollendeten 65., für Frauen bis zum vollendeten 62. Altersjahr nach Anordnung des Bundesrates der Preisentwicklung angepasst (Abs. 1). Die Vorsorgeeinrichtung hat im Rahmen ihrer finanziellen Möglichkeiten Bestimmungen über die Anpassung der laufenden Renten in den übrigen Fällen zu erlassen (Abs. 2). Gestützt auf Art. 36 Abs. 1 BVG hat der Bundesrat am 16. September 1987 die Verordnung über die Anpassung der laufenden Hinterlassenen- und Invalidenrenten an die Preisentwicklung, in Kraft seit 1. Januar 1988, erlassen. Wie aus Art. 6 BVG hervorgeht, stellt Art. 36 BVG eine Mindestvorschrift dar, welche einzig für die seit 1. Januar 1985 in Kraft stehende obligatorische Versicherung der Arbeitnehmer ( Art. 2 BVG ) massgeblich ist. Art. 49 BVG schränkt die Selbständigkeit der Vorsorgeeinrichtungen in der weitergehenden Vorsorge (Abs. 1), wozu praxisgemäss auch die vorobligatorische Vorsorge zählt ( BGE 114 V 35 Erw. 1a, 37 Erw. 2a), bezüglich Art. 36 BVG nicht ein (Abs. 2). Doktrin (RIEMER, Das Recht der beruflichen Vorsorge in der Schweiz, S. 29, N 14 in fine zu § 1) und Verwaltungspraxis (vgl. Mitteilungen des Bundesamtes für Sozialversicherung [BSV] über die berufliche Vorsorge, Nr. 5 Rz. 32, Nr. 11 Rz. 61 f. und Nr. 13 Rz. 80) gehen denn auch davon aus, dass Art. 36 BVG nur für die obligatorische Vorsorge gilt, wogegen im weitergehenden Bereich der beruflichen Vorsorge von Gesetzes wegen keine Verpflichtung zur Anpassung der Hinterlassenen- oder Invalidenrenten an die Preisentwicklung besteht.</w:t>
      </w:r>
    </w:p>
    <w:p>
      <w:r>
        <w:rPr>
          <w:b/>
        </w:rPr>
        <w:t>E. 3</w:t>
      </w:r>
    </w:p>
    <w:p>
      <w:r>
        <w:t>a) Wie bereits im vorinstanzlichen Verfahren bringt der Beschwerdeführer im wesentlichen einzig vor, die auf den 30. November 1983 erfolgte Beendigung des Arbeitsverhältnisses BGE 117 V 166 S. 168 mit der Micafil AG sei in Verletzung der zwingenden arbeitsvertragsrechtlichen Bestimmungen über die Kündigungsbeschränkung bei Krankheit des Arbeitnehmers erfolgt. Wäre sein "Arbeitsverhältnis unter anständigen und regulären Bedingungen gekündigt worden und nicht, wie geschehen, abseits von Recht und Gesetz, so hätte der Austritt zu einem späteren Zeitpunkt, nämlich mindestens 2 Monate später, am 31. Januar 1984 stattgefunden. Dies wiederum hätte unter Anrechnung einer einjährigen Karenzzeit bedeutet, dass (er) rückwirkend auf den 1. Februar 1985 invalidisiert worden wäre." Damit will der Beschwerdeführer geltend machen, dass bei ordnungsgemässer Beendigung des Arbeitsverhältnisses der von der Pensionskasse übernommene Beginn der Wartezeit ( Art. 29 IVG ) später erfolgt und der Rentenanspruch diesfalls erst 1985 entstanden wäre, somit unter dem Obligatorium gemäss BVG. b) Diesen Vorbringen ist zunächst entgegenzuhalten, dass es im Rahmen der Beurteilung eines vorsorgerechtlichen Anspruches grundsätzlich nicht Sache des Eidg. Versicherungsgerichts sein kann, von einer durch die Beteiligten geschaffenen arbeitsvertraglichen Sachlage abzugehen. Statt dessen gestützt auf irgendwelche behauptete hypothetische Verhältnisse zu entscheiden, geht jedenfalls dort nicht an, wo der Versicherte, wie vorliegend, eine arbeitsgerichtliche Beurteilung hätte herbeiführen können. Ob das Arbeitsverhältnis im Falle einer Klage des Beschwerdeführers durch das Arbeitsgericht noch verlängert worden wäre, ist im übrigen nach der Aktenlage fraglich, für den Ausgang des vorliegenden Verfahrens indessen in keiner Weise massgeblich. Denn ob eine Invalidenrente vorobligatorischer Natur sei oder vom BVG-Obligatorium erfasst werde und insoweit dem Teuerungsausgleich unterliege, beurteilt sich nicht nach dem Zeitpunkt des Rentenbeginns. Die Annahme eines überhaupt dem Obligatorium unterstehenden Versicherungsverhältnisses - und folglich eine darauf beruhende Rentenberechtigung - setzt vielmehr voraus, dass der Leistungsansprecher tatsächlich nach dem 1. Januar 1985 koordinierten Lohn gemäss den Bestimmungen des BVG bezogen hat (Art. 2 Abs. 1 in Verbindung mit Art. 7 ff. BVG ). Dies trifft hier nicht zu. Denn es ist unbestritten, dass der Beschwerdeführer nach Ende November 1983 für die Firma Micafil AG nicht mehr als Arbeitnehmer tätig gewesen ist, weshalb er zumindest im hier streitigen und massgeblichen Verhältnis zur Pensionskasse nie koordinierten Lohn im Sinne von Art. 2 Abs. 1 in Verbindung mit BGE 117 V 166 S. 169 Art. 7 ff. BVG bezog. Damit war er bei der Beschwerdegegnerin nie obligatorisch nach Massgabe des BVG versichert mit der Folge, dass seine ausschliesslich vorobligatorisch geäufnete Rente kein Altersguthaben umfasst, bezüglich dessen, zur Invalidenrente umgerechnet (Art. 24 in Verbindung mit Art. 15 BVG ), der gesetzliche Teuerungsausgleich nach Art. 36 BVG einzig zum Tragen käme.</w:t>
      </w:r>
    </w:p>
    <w:p>
      <w:r>
        <w:rPr>
          <w:b/>
        </w:rPr>
        <w:t>E. 4</w:t>
      </w:r>
    </w:p>
    <w:p>
      <w:r>
        <w:t>Handelt es sich somit bei der Invalidenrente des Beschwerdeführers um einen Anspruch aus vorobligatorischer Vorsorge, gibt es keine gesetzliche (und unbestrittenerweise auch keine reglementarische) Grundlage, um seinem Antrag auf Indexierung der Rente stattzugeben. Dass dieses Ergebnis als unbefriedigend erscheint, weil sich der wirtschaftliche Wert der Invalidenrente zufolge der ansteigenden Preisentwicklung, trotz der freiwilligen Anpassungen, verringert, gibt dem Richter nicht die Befugnis, die Vorsorgeeinrichtung zur Indexierung zu verpflichten. Art. 36 BVG , welcher selber für die verschiedenen Rentenarten eine unterschiedliche Regelung enthält, zeigt, dass dies Sache des Gesetzgebers ist (Erw. 3). Der vorinstanzliche Entscheid, mit welchem das Rechtsbegehren um teuerungsbedingte Erhöhung der Invalidenrente abgewiesen wurde, lässt sich somit nicht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